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73F" w:rsidRPr="006A473F" w:rsidRDefault="006A473F" w:rsidP="006A473F">
      <w:pPr>
        <w:shd w:val="clear" w:color="auto" w:fill="FFFFFF"/>
        <w:spacing w:after="0" w:line="240" w:lineRule="auto"/>
        <w:rPr>
          <w:rFonts w:ascii="Arial" w:eastAsia="Times New Roman" w:hAnsi="Arial" w:cs="Arial"/>
          <w:color w:val="2C2D2E"/>
          <w:sz w:val="23"/>
          <w:szCs w:val="23"/>
          <w:lang w:eastAsia="ru-RU"/>
        </w:rPr>
      </w:pPr>
      <w:r w:rsidRPr="006A473F">
        <w:rPr>
          <w:rFonts w:eastAsia="Times New Roman" w:cs="Times New Roman"/>
          <w:b/>
          <w:bCs/>
          <w:color w:val="2C2D2E"/>
          <w:szCs w:val="24"/>
          <w:lang w:eastAsia="ru-RU"/>
        </w:rPr>
        <w:t>ФЕДЕРАЛЬНЫЕ ДОКУМЕНТЫ</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b/>
          <w:bCs/>
          <w:color w:val="2C2D2E"/>
          <w:szCs w:val="24"/>
          <w:lang w:eastAsia="ru-RU"/>
        </w:rPr>
        <w:t>Разговоры о важном</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Cs w:val="24"/>
          <w:lang w:eastAsia="ru-RU"/>
        </w:rPr>
        <w:t>Представлены методические рекомендации по проведению цикла внеурочных занятий "Разговоры о важном".</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i/>
          <w:iCs/>
          <w:color w:val="2C2D2E"/>
          <w:szCs w:val="24"/>
          <w:u w:val="single"/>
          <w:lang w:eastAsia="ru-RU"/>
        </w:rPr>
        <w:t>Источник</w:t>
      </w:r>
      <w:r w:rsidRPr="006A473F">
        <w:rPr>
          <w:rFonts w:eastAsia="Times New Roman" w:cs="Times New Roman"/>
          <w:i/>
          <w:iCs/>
          <w:color w:val="2C2D2E"/>
          <w:szCs w:val="24"/>
          <w:lang w:eastAsia="ru-RU"/>
        </w:rPr>
        <w:t>:</w:t>
      </w:r>
      <w:r w:rsidRPr="006A473F">
        <w:rPr>
          <w:rFonts w:eastAsia="Times New Roman" w:cs="Times New Roman"/>
          <w:color w:val="2C2D2E"/>
          <w:szCs w:val="24"/>
          <w:lang w:eastAsia="ru-RU"/>
        </w:rPr>
        <w:t> Документ опубликован не был</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hyperlink r:id="rId4" w:tgtFrame="_blank" w:history="1">
        <w:r w:rsidRPr="006A473F">
          <w:rPr>
            <w:rFonts w:eastAsia="Times New Roman" w:cs="Times New Roman"/>
            <w:color w:val="0000FF"/>
            <w:szCs w:val="24"/>
            <w:u w:val="single"/>
            <w:lang w:eastAsia="ru-RU"/>
          </w:rPr>
          <w:t xml:space="preserve">Письмо </w:t>
        </w:r>
        <w:proofErr w:type="spellStart"/>
        <w:r w:rsidRPr="006A473F">
          <w:rPr>
            <w:rFonts w:eastAsia="Times New Roman" w:cs="Times New Roman"/>
            <w:color w:val="0000FF"/>
            <w:szCs w:val="24"/>
            <w:u w:val="single"/>
            <w:lang w:eastAsia="ru-RU"/>
          </w:rPr>
          <w:t>Минпросвещения</w:t>
        </w:r>
        <w:proofErr w:type="spellEnd"/>
        <w:r w:rsidRPr="006A473F">
          <w:rPr>
            <w:rFonts w:eastAsia="Times New Roman" w:cs="Times New Roman"/>
            <w:color w:val="0000FF"/>
            <w:szCs w:val="24"/>
            <w:u w:val="single"/>
            <w:lang w:eastAsia="ru-RU"/>
          </w:rPr>
          <w:t xml:space="preserve"> России от 18.02.2025 N 06-221</w:t>
        </w:r>
      </w:hyperlink>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b/>
          <w:bCs/>
          <w:color w:val="2C2D2E"/>
          <w:szCs w:val="24"/>
          <w:lang w:eastAsia="ru-RU"/>
        </w:rPr>
        <w:t>Материнский капитал</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Cs w:val="24"/>
          <w:lang w:eastAsia="ru-RU"/>
        </w:rPr>
        <w:t>Действие программы материнского (семейного) капитала продлено до конца 2030 года.</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i/>
          <w:iCs/>
          <w:color w:val="2C2D2E"/>
          <w:szCs w:val="24"/>
          <w:u w:val="single"/>
          <w:lang w:eastAsia="ru-RU"/>
        </w:rPr>
        <w:t>Источник</w:t>
      </w:r>
      <w:r w:rsidRPr="006A473F">
        <w:rPr>
          <w:rFonts w:eastAsia="Times New Roman" w:cs="Times New Roman"/>
          <w:i/>
          <w:iCs/>
          <w:color w:val="2C2D2E"/>
          <w:szCs w:val="24"/>
          <w:lang w:eastAsia="ru-RU"/>
        </w:rPr>
        <w:t>:</w:t>
      </w:r>
      <w:r w:rsidRPr="006A473F">
        <w:rPr>
          <w:rFonts w:eastAsia="Times New Roman" w:cs="Times New Roman"/>
          <w:b/>
          <w:bCs/>
          <w:color w:val="2C2D2E"/>
          <w:sz w:val="20"/>
          <w:szCs w:val="20"/>
          <w:lang w:eastAsia="ru-RU"/>
        </w:rPr>
        <w:t> </w:t>
      </w:r>
      <w:r w:rsidRPr="006A473F">
        <w:rPr>
          <w:rFonts w:eastAsia="Times New Roman" w:cs="Times New Roman"/>
          <w:color w:val="2C2D2E"/>
          <w:szCs w:val="24"/>
          <w:lang w:eastAsia="ru-RU"/>
        </w:rPr>
        <w:t>Официальный интернет-портал правовой информации </w:t>
      </w:r>
      <w:hyperlink r:id="rId5" w:tgtFrame="_blank" w:history="1">
        <w:r w:rsidRPr="006A473F">
          <w:rPr>
            <w:rFonts w:eastAsia="Times New Roman" w:cs="Times New Roman"/>
            <w:color w:val="0000FF"/>
            <w:szCs w:val="24"/>
            <w:u w:val="single"/>
            <w:lang w:eastAsia="ru-RU"/>
          </w:rPr>
          <w:t>http://pravo.gov.ru</w:t>
        </w:r>
      </w:hyperlink>
      <w:r w:rsidRPr="006A473F">
        <w:rPr>
          <w:rFonts w:eastAsia="Times New Roman" w:cs="Times New Roman"/>
          <w:color w:val="2C2D2E"/>
          <w:szCs w:val="24"/>
          <w:lang w:eastAsia="ru-RU"/>
        </w:rPr>
        <w:t>, 28.02.2025,</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Cs w:val="24"/>
          <w:lang w:eastAsia="ru-RU"/>
        </w:rPr>
        <w:t>"Собрание законодательства РФ", 03.03.2025, N 9, ст. 853, "Российская газета", N 47, 05.03.2025</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hyperlink r:id="rId6" w:tgtFrame="_blank" w:history="1">
        <w:r w:rsidRPr="006A473F">
          <w:rPr>
            <w:rFonts w:eastAsia="Times New Roman" w:cs="Times New Roman"/>
            <w:color w:val="0000FF"/>
            <w:szCs w:val="24"/>
            <w:u w:val="single"/>
            <w:lang w:eastAsia="ru-RU"/>
          </w:rPr>
          <w:t>Федеральный закон от 28.02.2025 N 24-ФЗ</w:t>
        </w:r>
      </w:hyperlink>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proofErr w:type="spellStart"/>
      <w:r w:rsidRPr="006A473F">
        <w:rPr>
          <w:rFonts w:eastAsia="Times New Roman" w:cs="Times New Roman"/>
          <w:b/>
          <w:bCs/>
          <w:color w:val="2C2D2E"/>
          <w:szCs w:val="24"/>
          <w:lang w:eastAsia="ru-RU"/>
        </w:rPr>
        <w:t>Самозапрет</w:t>
      </w:r>
      <w:proofErr w:type="spellEnd"/>
      <w:r w:rsidRPr="006A473F">
        <w:rPr>
          <w:rFonts w:eastAsia="Times New Roman" w:cs="Times New Roman"/>
          <w:b/>
          <w:bCs/>
          <w:color w:val="2C2D2E"/>
          <w:szCs w:val="24"/>
          <w:lang w:eastAsia="ru-RU"/>
        </w:rPr>
        <w:t xml:space="preserve"> на кредиты</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Cs w:val="24"/>
          <w:lang w:eastAsia="ru-RU"/>
        </w:rPr>
        <w:t xml:space="preserve">Физлица могут потребовать внести в свои кредитные истории сведения о запрете заключать договоры потребкредита или займа. Исключения: ипотека, кредит под залог транспорта и основной образовательный кредит с господдержкой. Для установления или снятия запрета нужно подать заявление на Госуслугах. Не позже 1 сентября 2025 года такая возможность появится и в МФЦ. Ознакомиться с инструкцией по работе с сервисом можно на сайте </w:t>
      </w:r>
      <w:proofErr w:type="spellStart"/>
      <w:r w:rsidRPr="006A473F">
        <w:rPr>
          <w:rFonts w:eastAsia="Times New Roman" w:cs="Times New Roman"/>
          <w:color w:val="2C2D2E"/>
          <w:szCs w:val="24"/>
          <w:lang w:eastAsia="ru-RU"/>
        </w:rPr>
        <w:t>Минцифры</w:t>
      </w:r>
      <w:proofErr w:type="spellEnd"/>
      <w:r w:rsidRPr="006A473F">
        <w:rPr>
          <w:rFonts w:eastAsia="Times New Roman" w:cs="Times New Roman"/>
          <w:color w:val="2C2D2E"/>
          <w:szCs w:val="24"/>
          <w:lang w:eastAsia="ru-RU"/>
        </w:rPr>
        <w:t xml:space="preserve">. Сервис для установления </w:t>
      </w:r>
      <w:proofErr w:type="spellStart"/>
      <w:r w:rsidRPr="006A473F">
        <w:rPr>
          <w:rFonts w:eastAsia="Times New Roman" w:cs="Times New Roman"/>
          <w:color w:val="2C2D2E"/>
          <w:szCs w:val="24"/>
          <w:lang w:eastAsia="ru-RU"/>
        </w:rPr>
        <w:t>самозапрета</w:t>
      </w:r>
      <w:proofErr w:type="spellEnd"/>
      <w:r w:rsidRPr="006A473F">
        <w:rPr>
          <w:rFonts w:eastAsia="Times New Roman" w:cs="Times New Roman"/>
          <w:color w:val="2C2D2E"/>
          <w:szCs w:val="24"/>
          <w:lang w:eastAsia="ru-RU"/>
        </w:rPr>
        <w:t xml:space="preserve"> на кредиты и займы заработал на Госуслугах с 1 марта 2025 года.</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hyperlink r:id="rId7" w:tgtFrame="_blank" w:history="1">
        <w:r w:rsidRPr="006A473F">
          <w:rPr>
            <w:rFonts w:eastAsia="Times New Roman" w:cs="Times New Roman"/>
            <w:color w:val="0000FF"/>
            <w:szCs w:val="24"/>
            <w:u w:val="single"/>
            <w:lang w:eastAsia="ru-RU"/>
          </w:rPr>
          <w:t xml:space="preserve">Информация с сайта </w:t>
        </w:r>
        <w:proofErr w:type="spellStart"/>
        <w:r w:rsidRPr="006A473F">
          <w:rPr>
            <w:rFonts w:eastAsia="Times New Roman" w:cs="Times New Roman"/>
            <w:color w:val="0000FF"/>
            <w:szCs w:val="24"/>
            <w:u w:val="single"/>
            <w:lang w:eastAsia="ru-RU"/>
          </w:rPr>
          <w:t>Минцифры</w:t>
        </w:r>
        <w:proofErr w:type="spellEnd"/>
        <w:r w:rsidRPr="006A473F">
          <w:rPr>
            <w:rFonts w:eastAsia="Times New Roman" w:cs="Times New Roman"/>
            <w:color w:val="0000FF"/>
            <w:szCs w:val="24"/>
            <w:u w:val="single"/>
            <w:lang w:eastAsia="ru-RU"/>
          </w:rPr>
          <w:t xml:space="preserve"> России от 01.03.2025</w:t>
        </w:r>
      </w:hyperlink>
    </w:p>
    <w:p w:rsidR="006A473F" w:rsidRPr="006A473F" w:rsidRDefault="006A473F" w:rsidP="006A473F">
      <w:pPr>
        <w:shd w:val="clear" w:color="auto" w:fill="FFFFFF"/>
        <w:spacing w:before="315" w:after="100" w:afterAutospacing="1" w:line="240" w:lineRule="auto"/>
        <w:jc w:val="both"/>
        <w:rPr>
          <w:rFonts w:ascii="Arial" w:eastAsia="Times New Roman" w:hAnsi="Arial" w:cs="Arial"/>
          <w:color w:val="2C2D2E"/>
          <w:sz w:val="23"/>
          <w:szCs w:val="23"/>
          <w:lang w:eastAsia="ru-RU"/>
        </w:rPr>
      </w:pPr>
      <w:r w:rsidRPr="006A473F">
        <w:rPr>
          <w:rFonts w:ascii="Marta" w:eastAsia="Times New Roman" w:hAnsi="Marta" w:cs="Times New Roman"/>
          <w:b/>
          <w:bCs/>
          <w:color w:val="2C2D2E"/>
          <w:spacing w:val="-2"/>
          <w:szCs w:val="24"/>
          <w:lang w:eastAsia="ru-RU"/>
        </w:rPr>
        <w:t>Разъяснены особенности определения зарплаты педагогических работников при неполной учебной нагрузке</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 w:val="22"/>
          <w:lang w:eastAsia="ru-RU"/>
        </w:rPr>
        <w:t xml:space="preserve">Конституционный Суд отметил, что выполнение педагогом нормы часов учебной работы должно гарантировать выплату ему заработной платы в размере не ниже МРОТ с соблюдением требования об обеспечении повышенной оплаты труда сверх этого размера в случаях работы в особых условиях или условиях, отклоняющихся от нормальных, а также при выполнении дополнительной работы, не входящей в основные должностные обязанности, и учебной работы сверх установленной нормы часов. Если же учебная нагрузка работника составляет менее установленной нормы часов, то его месячная заработная плата исчисляется исходя из размера оплаты труда по данной должности за полное рабочее время пропорционально количеству фактически отработанных работником часов. При этом оплата труда за полное рабочее время, из которой производится расчет заработной платы </w:t>
      </w:r>
      <w:r w:rsidRPr="006A473F">
        <w:rPr>
          <w:rFonts w:eastAsia="Times New Roman" w:cs="Times New Roman"/>
          <w:color w:val="2C2D2E"/>
          <w:sz w:val="22"/>
          <w:lang w:eastAsia="ru-RU"/>
        </w:rPr>
        <w:lastRenderedPageBreak/>
        <w:t>такого работника, не может быть менее МРОТ с начислением в установленных случаях дополнительных выплат. Соответственно, если структура оплаты труда педагогического работника - помимо тарифной ставки или оклада, а также компенсационных и стимулирующих выплат - включает так называемую "доплату до МРОТ", то при исчислении размера оплаты труда работника, учебная нагрузка которого составляет менее установленной нормы часов, данная доплата подлежит включению в состав заработной платы за полное рабочее время, из которой производится расчет (т.е. учитывается при расчете). Таким образом обеспечивается соответствие размера оплаты труда такого работника минимальному гарантированному размеру заработной платы, исчисленному из МРОТ пропорционально отработанному работником времени.</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hyperlink r:id="rId8" w:tgtFrame="_blank" w:history="1">
        <w:r w:rsidRPr="006A473F">
          <w:rPr>
            <w:rFonts w:ascii="Helvetica_Light-Normal" w:eastAsia="Times New Roman" w:hAnsi="Helvetica_Light-Normal" w:cs="Times New Roman"/>
            <w:b/>
            <w:bCs/>
            <w:color w:val="0000FF"/>
            <w:spacing w:val="-2"/>
            <w:sz w:val="22"/>
            <w:u w:val="single"/>
            <w:lang w:eastAsia="ru-RU"/>
          </w:rPr>
          <w:t>Постановление Конституционного Суда РФ от 05.03.2025 </w:t>
        </w:r>
        <w:r w:rsidRPr="006A473F">
          <w:rPr>
            <w:rFonts w:ascii="Helvetica_Light-Normal" w:eastAsia="Times New Roman" w:hAnsi="Helvetica_Light-Normal" w:cs="Times New Roman"/>
            <w:b/>
            <w:bCs/>
            <w:color w:val="0000FF"/>
            <w:spacing w:val="-2"/>
            <w:sz w:val="22"/>
            <w:u w:val="single"/>
            <w:lang w:val="en-US" w:eastAsia="ru-RU"/>
          </w:rPr>
          <w:t>N</w:t>
        </w:r>
        <w:r w:rsidRPr="006A473F">
          <w:rPr>
            <w:rFonts w:ascii="Helvetica_Light-Normal" w:eastAsia="Times New Roman" w:hAnsi="Helvetica_Light-Normal" w:cs="Times New Roman"/>
            <w:b/>
            <w:bCs/>
            <w:color w:val="0000FF"/>
            <w:spacing w:val="-2"/>
            <w:sz w:val="22"/>
            <w:u w:val="single"/>
            <w:lang w:eastAsia="ru-RU"/>
          </w:rPr>
          <w:t> 10-П</w:t>
        </w:r>
      </w:hyperlink>
    </w:p>
    <w:p w:rsidR="006A473F" w:rsidRPr="006A473F" w:rsidRDefault="006A473F" w:rsidP="006A473F">
      <w:pPr>
        <w:shd w:val="clear" w:color="auto" w:fill="FFFFFF"/>
        <w:spacing w:before="100" w:beforeAutospacing="1" w:after="100" w:afterAutospacing="1" w:line="240" w:lineRule="auto"/>
        <w:jc w:val="center"/>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6A473F" w:rsidRPr="006A473F" w:rsidRDefault="006A473F" w:rsidP="006A473F">
      <w:pPr>
        <w:shd w:val="clear" w:color="auto" w:fill="FFFFFF"/>
        <w:spacing w:before="100" w:beforeAutospacing="1" w:after="100" w:afterAutospacing="1" w:line="240" w:lineRule="auto"/>
        <w:jc w:val="center"/>
        <w:rPr>
          <w:rFonts w:ascii="Arial" w:eastAsia="Times New Roman" w:hAnsi="Arial" w:cs="Arial"/>
          <w:color w:val="2C2D2E"/>
          <w:sz w:val="23"/>
          <w:szCs w:val="23"/>
          <w:lang w:eastAsia="ru-RU"/>
        </w:rPr>
      </w:pPr>
      <w:r w:rsidRPr="006A473F">
        <w:rPr>
          <w:rFonts w:eastAsia="Times New Roman" w:cs="Times New Roman"/>
          <w:b/>
          <w:bCs/>
          <w:color w:val="2C2D2E"/>
          <w:szCs w:val="24"/>
          <w:lang w:eastAsia="ru-RU"/>
        </w:rPr>
        <w:t>МЕСТНЫЕ ДОКУМЕНТЫ</w:t>
      </w:r>
    </w:p>
    <w:p w:rsidR="006A473F" w:rsidRPr="006A473F" w:rsidRDefault="006A473F" w:rsidP="006A473F">
      <w:pPr>
        <w:shd w:val="clear" w:color="auto" w:fill="FFFFFF"/>
        <w:spacing w:before="100" w:beforeAutospacing="1" w:after="100" w:afterAutospacing="1" w:line="240" w:lineRule="auto"/>
        <w:jc w:val="center"/>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b/>
          <w:bCs/>
          <w:color w:val="2C2D2E"/>
          <w:szCs w:val="24"/>
          <w:lang w:eastAsia="ru-RU"/>
        </w:rPr>
        <w:t>Организация отдыха детей в каникулярное время в 2025 году</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color w:val="2C2D2E"/>
          <w:szCs w:val="24"/>
          <w:lang w:eastAsia="ru-RU"/>
        </w:rPr>
        <w:t>Утвержден порядок определения стоимости путевок в организациях отдыха и оздоровления детей и размера платы за путевку, взимаемой с родителей (законных представителей) ребенка. Установлено, что фактическая стоимость путевок в лагеря, организованные муниципальными организациями, загородные детские оздоровительные лагеря, в том числе организующие профильные смены (профильные отряды), утверждается правовым актом руководителя органа, осуществляющего функции и полномочия учредителя в отношении организаций отдыха и оздоровления детей, на очередной финансовый год. Определена процедура организации отдыха организованных групп детей, имеющих достижения в интеллектуальной, художественно-эстетической, спортивной сферах деятельности, а также детей сотрудников организаций -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Приведен план основных мероприятий по организации отдыха детей в каникулярное время, включая мероприятия по обеспечению безопасности их жизни и здоровья, в 2025 году.</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r w:rsidRPr="006A473F">
        <w:rPr>
          <w:rFonts w:eastAsia="Times New Roman" w:cs="Times New Roman"/>
          <w:i/>
          <w:iCs/>
          <w:color w:val="2C2D2E"/>
          <w:szCs w:val="24"/>
          <w:u w:val="single"/>
          <w:lang w:eastAsia="ru-RU"/>
        </w:rPr>
        <w:t>Источник</w:t>
      </w:r>
      <w:r w:rsidRPr="006A473F">
        <w:rPr>
          <w:rFonts w:eastAsia="Times New Roman" w:cs="Times New Roman"/>
          <w:i/>
          <w:iCs/>
          <w:color w:val="2C2D2E"/>
          <w:szCs w:val="24"/>
          <w:lang w:eastAsia="ru-RU"/>
        </w:rPr>
        <w:t>:</w:t>
      </w:r>
      <w:r w:rsidRPr="006A473F">
        <w:rPr>
          <w:rFonts w:eastAsia="Times New Roman" w:cs="Times New Roman"/>
          <w:b/>
          <w:bCs/>
          <w:color w:val="2C2D2E"/>
          <w:sz w:val="20"/>
          <w:szCs w:val="20"/>
          <w:lang w:eastAsia="ru-RU"/>
        </w:rPr>
        <w:t> </w:t>
      </w:r>
      <w:r w:rsidRPr="006A473F">
        <w:rPr>
          <w:rFonts w:eastAsia="Times New Roman" w:cs="Times New Roman"/>
          <w:color w:val="2C2D2E"/>
          <w:szCs w:val="24"/>
          <w:lang w:eastAsia="ru-RU"/>
        </w:rPr>
        <w:t>"Екатеринбургский вестник", N 18, 28.02.2025</w:t>
      </w:r>
    </w:p>
    <w:p w:rsidR="006A473F" w:rsidRPr="006A473F" w:rsidRDefault="006A473F" w:rsidP="006A473F">
      <w:pPr>
        <w:shd w:val="clear" w:color="auto" w:fill="FFFFFF"/>
        <w:spacing w:before="100" w:beforeAutospacing="1" w:after="100" w:afterAutospacing="1" w:line="240" w:lineRule="auto"/>
        <w:jc w:val="both"/>
        <w:rPr>
          <w:rFonts w:ascii="Arial" w:eastAsia="Times New Roman" w:hAnsi="Arial" w:cs="Arial"/>
          <w:color w:val="2C2D2E"/>
          <w:sz w:val="23"/>
          <w:szCs w:val="23"/>
          <w:lang w:eastAsia="ru-RU"/>
        </w:rPr>
      </w:pPr>
      <w:hyperlink r:id="rId9" w:tgtFrame="_blank" w:history="1">
        <w:r w:rsidRPr="006A473F">
          <w:rPr>
            <w:rFonts w:eastAsia="Times New Roman" w:cs="Times New Roman"/>
            <w:color w:val="0000FF"/>
            <w:szCs w:val="24"/>
            <w:u w:val="single"/>
            <w:lang w:eastAsia="ru-RU"/>
          </w:rPr>
          <w:t>Постановление Администрации г. Екатеринбурга от 27.02.2025 N 374</w:t>
        </w:r>
      </w:hyperlink>
    </w:p>
    <w:p w:rsidR="006A473F" w:rsidRPr="006A473F" w:rsidRDefault="006A473F" w:rsidP="006A473F">
      <w:pPr>
        <w:shd w:val="clear" w:color="auto" w:fill="FFFFFF"/>
        <w:spacing w:after="0" w:line="240" w:lineRule="auto"/>
        <w:rPr>
          <w:rFonts w:ascii="Arial" w:eastAsia="Times New Roman" w:hAnsi="Arial" w:cs="Arial"/>
          <w:color w:val="2C2D2E"/>
          <w:sz w:val="23"/>
          <w:szCs w:val="23"/>
          <w:lang w:eastAsia="ru-RU"/>
        </w:rPr>
      </w:pPr>
      <w:r w:rsidRPr="006A473F">
        <w:rPr>
          <w:rFonts w:ascii="Arial" w:eastAsia="Times New Roman" w:hAnsi="Arial" w:cs="Arial"/>
          <w:color w:val="2C2D2E"/>
          <w:sz w:val="23"/>
          <w:szCs w:val="23"/>
          <w:lang w:eastAsia="ru-RU"/>
        </w:rPr>
        <w:t> </w:t>
      </w:r>
    </w:p>
    <w:p w:rsidR="00842DFF" w:rsidRDefault="00842DFF">
      <w:bookmarkStart w:id="0" w:name="_GoBack"/>
      <w:bookmarkEnd w:id="0"/>
    </w:p>
    <w:sectPr w:rsidR="00842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rta">
    <w:altName w:val="Cambria"/>
    <w:panose1 w:val="00000000000000000000"/>
    <w:charset w:val="00"/>
    <w:family w:val="roman"/>
    <w:notTrueType/>
    <w:pitch w:val="default"/>
  </w:font>
  <w:font w:name="Helvetica_Light-Normal">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3F"/>
    <w:rsid w:val="006A473F"/>
    <w:rsid w:val="0084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356E-F3BC-46CB-8CA3-97B13DD3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spacingmrcssattr">
    <w:name w:val="msonospacing_mr_css_attr"/>
    <w:basedOn w:val="a"/>
    <w:rsid w:val="006A473F"/>
    <w:pPr>
      <w:spacing w:before="100" w:beforeAutospacing="1" w:after="100" w:afterAutospacing="1" w:line="240" w:lineRule="auto"/>
    </w:pPr>
    <w:rPr>
      <w:rFonts w:eastAsia="Times New Roman" w:cs="Times New Roman"/>
      <w:szCs w:val="24"/>
      <w:lang w:eastAsia="ru-RU"/>
    </w:rPr>
  </w:style>
  <w:style w:type="character" w:styleId="a3">
    <w:name w:val="Hyperlink"/>
    <w:basedOn w:val="a0"/>
    <w:uiPriority w:val="99"/>
    <w:semiHidden/>
    <w:unhideWhenUsed/>
    <w:rsid w:val="006A473F"/>
    <w:rPr>
      <w:color w:val="0000FF"/>
      <w:u w:val="single"/>
    </w:rPr>
  </w:style>
  <w:style w:type="paragraph" w:styleId="a4">
    <w:name w:val="Normal (Web)"/>
    <w:basedOn w:val="a"/>
    <w:uiPriority w:val="99"/>
    <w:semiHidden/>
    <w:unhideWhenUsed/>
    <w:rsid w:val="006A473F"/>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51799">
      <w:bodyDiv w:val="1"/>
      <w:marLeft w:val="0"/>
      <w:marRight w:val="0"/>
      <w:marTop w:val="0"/>
      <w:marBottom w:val="0"/>
      <w:divBdr>
        <w:top w:val="none" w:sz="0" w:space="0" w:color="auto"/>
        <w:left w:val="none" w:sz="0" w:space="0" w:color="auto"/>
        <w:bottom w:val="none" w:sz="0" w:space="0" w:color="auto"/>
        <w:right w:val="none" w:sz="0" w:space="0" w:color="auto"/>
      </w:divBdr>
      <w:divsChild>
        <w:div w:id="394396524">
          <w:marLeft w:val="0"/>
          <w:marRight w:val="0"/>
          <w:marTop w:val="0"/>
          <w:marBottom w:val="0"/>
          <w:divBdr>
            <w:top w:val="none" w:sz="0" w:space="0" w:color="auto"/>
            <w:left w:val="none" w:sz="0" w:space="0" w:color="auto"/>
            <w:bottom w:val="none" w:sz="0" w:space="0" w:color="auto"/>
            <w:right w:val="none" w:sz="0" w:space="0" w:color="auto"/>
          </w:divBdr>
        </w:div>
        <w:div w:id="279655036">
          <w:marLeft w:val="0"/>
          <w:marRight w:val="0"/>
          <w:marTop w:val="0"/>
          <w:marBottom w:val="0"/>
          <w:divBdr>
            <w:top w:val="none" w:sz="0" w:space="0" w:color="auto"/>
            <w:left w:val="none" w:sz="0" w:space="0" w:color="auto"/>
            <w:bottom w:val="none" w:sz="0" w:space="0" w:color="auto"/>
            <w:right w:val="none" w:sz="0" w:space="0" w:color="auto"/>
          </w:divBdr>
          <w:divsChild>
            <w:div w:id="181477085">
              <w:marLeft w:val="0"/>
              <w:marRight w:val="0"/>
              <w:marTop w:val="0"/>
              <w:marBottom w:val="0"/>
              <w:divBdr>
                <w:top w:val="none" w:sz="0" w:space="0" w:color="auto"/>
                <w:left w:val="none" w:sz="0" w:space="0" w:color="auto"/>
                <w:bottom w:val="none" w:sz="0" w:space="0" w:color="auto"/>
                <w:right w:val="none" w:sz="0" w:space="0" w:color="auto"/>
              </w:divBdr>
              <w:divsChild>
                <w:div w:id="286011252">
                  <w:marLeft w:val="0"/>
                  <w:marRight w:val="0"/>
                  <w:marTop w:val="0"/>
                  <w:marBottom w:val="0"/>
                  <w:divBdr>
                    <w:top w:val="none" w:sz="0" w:space="0" w:color="auto"/>
                    <w:left w:val="none" w:sz="0" w:space="0" w:color="auto"/>
                    <w:bottom w:val="none" w:sz="0" w:space="0" w:color="auto"/>
                    <w:right w:val="none" w:sz="0" w:space="0" w:color="auto"/>
                  </w:divBdr>
                  <w:divsChild>
                    <w:div w:id="1953439229">
                      <w:marLeft w:val="0"/>
                      <w:marRight w:val="0"/>
                      <w:marTop w:val="0"/>
                      <w:marBottom w:val="0"/>
                      <w:divBdr>
                        <w:top w:val="none" w:sz="0" w:space="0" w:color="auto"/>
                        <w:left w:val="none" w:sz="0" w:space="0" w:color="auto"/>
                        <w:bottom w:val="none" w:sz="0" w:space="0" w:color="auto"/>
                        <w:right w:val="none" w:sz="0" w:space="0" w:color="auto"/>
                      </w:divBdr>
                      <w:divsChild>
                        <w:div w:id="533080387">
                          <w:marLeft w:val="0"/>
                          <w:marRight w:val="0"/>
                          <w:marTop w:val="0"/>
                          <w:marBottom w:val="0"/>
                          <w:divBdr>
                            <w:top w:val="none" w:sz="0" w:space="0" w:color="auto"/>
                            <w:left w:val="none" w:sz="0" w:space="0" w:color="auto"/>
                            <w:bottom w:val="none" w:sz="0" w:space="0" w:color="auto"/>
                            <w:right w:val="none" w:sz="0" w:space="0" w:color="auto"/>
                          </w:divBdr>
                          <w:divsChild>
                            <w:div w:id="1609922691">
                              <w:marLeft w:val="0"/>
                              <w:marRight w:val="0"/>
                              <w:marTop w:val="0"/>
                              <w:marBottom w:val="0"/>
                              <w:divBdr>
                                <w:top w:val="none" w:sz="0" w:space="0" w:color="auto"/>
                                <w:left w:val="none" w:sz="0" w:space="0" w:color="auto"/>
                                <w:bottom w:val="none" w:sz="0" w:space="0" w:color="auto"/>
                                <w:right w:val="none" w:sz="0" w:space="0" w:color="auto"/>
                              </w:divBdr>
                            </w:div>
                            <w:div w:id="14078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ARB&amp;n=849192&amp;dst=100003&amp;date=07.03.2025" TargetMode="External"/><Relationship Id="rId3" Type="http://schemas.openxmlformats.org/officeDocument/2006/relationships/webSettings" Target="webSettings.xml"/><Relationship Id="rId7" Type="http://schemas.openxmlformats.org/officeDocument/2006/relationships/hyperlink" Target="https://storage.consultant.ru/ondb/attachments/202503/04/Informacia_s_sajta_Mincifry_Rossii_ot_01032025_SBq.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983&amp;dst=100004" TargetMode="External"/><Relationship Id="rId11" Type="http://schemas.openxmlformats.org/officeDocument/2006/relationships/theme" Target="theme/theme1.xml"/><Relationship Id="rId5" Type="http://schemas.openxmlformats.org/officeDocument/2006/relationships/hyperlink" Target="http://pravo.gov.ru/" TargetMode="External"/><Relationship Id="rId10" Type="http://schemas.openxmlformats.org/officeDocument/2006/relationships/fontTable" Target="fontTable.xml"/><Relationship Id="rId4" Type="http://schemas.openxmlformats.org/officeDocument/2006/relationships/hyperlink" Target="https://login.consultant.ru/link/?req=doc&amp;base=LAW&amp;n=500175&amp;dst=100001&amp;date=07.03.2025" TargetMode="External"/><Relationship Id="rId9" Type="http://schemas.openxmlformats.org/officeDocument/2006/relationships/hyperlink" Target="https://login.consultant.ru/link/?req=doc&amp;base=RLAW071&amp;n=397118&amp;dst=100001%2C1&amp;date=0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2025-03-12T06:01:00Z</dcterms:created>
  <dcterms:modified xsi:type="dcterms:W3CDTF">2025-03-12T06:01:00Z</dcterms:modified>
</cp:coreProperties>
</file>